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7B1" w:rsidRDefault="00B54E93">
      <w:r>
        <w:t>Study Guide for Semester Final 1/2014 – Honors</w:t>
      </w:r>
    </w:p>
    <w:p w:rsidR="00B54E93" w:rsidRDefault="00B54E93">
      <w:r>
        <w:t xml:space="preserve">I will provide your </w:t>
      </w:r>
      <w:proofErr w:type="spellStart"/>
      <w:r>
        <w:t>scantron</w:t>
      </w:r>
      <w:proofErr w:type="spellEnd"/>
      <w:r>
        <w:t xml:space="preserve">; you must provide your own #2 </w:t>
      </w:r>
      <w:proofErr w:type="gramStart"/>
      <w:r>
        <w:t>pencil</w:t>
      </w:r>
      <w:proofErr w:type="gramEnd"/>
      <w:r>
        <w:t xml:space="preserve"> and eraser</w:t>
      </w:r>
    </w:p>
    <w:p w:rsidR="00B54E93" w:rsidRDefault="00B54E93">
      <w:r>
        <w:t xml:space="preserve">Grammar: Commas in parenthetical expressions, Oxford comma (serial comma) in lists, </w:t>
      </w:r>
      <w:r w:rsidR="00053061">
        <w:t>joining two independent clauses with a comma and a conjunction</w:t>
      </w:r>
      <w:bookmarkStart w:id="0" w:name="_GoBack"/>
      <w:bookmarkEnd w:id="0"/>
      <w:r w:rsidR="00053061">
        <w:t xml:space="preserve"> (know your conjunctions), </w:t>
      </w:r>
      <w:r>
        <w:t xml:space="preserve">correct use of semicolon, eliminating run </w:t>
      </w:r>
      <w:proofErr w:type="spellStart"/>
      <w:r>
        <w:t>ons</w:t>
      </w:r>
      <w:proofErr w:type="spellEnd"/>
      <w:r>
        <w:t xml:space="preserve"> and comma splices, correct usage of apostrophes, parallelism (multiple choice)</w:t>
      </w:r>
    </w:p>
    <w:p w:rsidR="00B54E93" w:rsidRDefault="00B54E93">
      <w:r>
        <w:t>Identifying usage of literary terms and techniques: simile, metaphor, allusion, personification, denotation, connotation, theme, thesis (implicit and explicit), diction, tone, rhythm and rhyme in poetry</w:t>
      </w:r>
      <w:r w:rsidRPr="00B54E93">
        <w:t xml:space="preserve"> </w:t>
      </w:r>
      <w:r>
        <w:t xml:space="preserve">(multiple </w:t>
      </w:r>
      <w:proofErr w:type="gramStart"/>
      <w:r>
        <w:t>choice</w:t>
      </w:r>
      <w:proofErr w:type="gramEnd"/>
      <w:r>
        <w:t>)</w:t>
      </w:r>
    </w:p>
    <w:p w:rsidR="00B54E93" w:rsidRDefault="00B54E93">
      <w:r>
        <w:t xml:space="preserve">Define and identify elements of The Gothic, The Romantic, The Byronic Hero, Fiction v Non-fiction, Memoir v Novel (multiple </w:t>
      </w:r>
      <w:proofErr w:type="gramStart"/>
      <w:r>
        <w:t>choice</w:t>
      </w:r>
      <w:proofErr w:type="gramEnd"/>
      <w:r>
        <w:t>)</w:t>
      </w:r>
    </w:p>
    <w:p w:rsidR="00252013" w:rsidRDefault="00252013">
      <w:r>
        <w:t>Some of your multiple choice questions will refer to the essays mentioned below.</w:t>
      </w:r>
    </w:p>
    <w:p w:rsidR="00252013" w:rsidRDefault="00B54E93" w:rsidP="00252013">
      <w:pPr>
        <w:pStyle w:val="ListParagraph"/>
        <w:numPr>
          <w:ilvl w:val="0"/>
          <w:numId w:val="2"/>
        </w:numPr>
      </w:pPr>
      <w:r>
        <w:t>For the short answer / essay portion of the exam, please provide your own blue book or green book (available at the school book store or for free at the Student</w:t>
      </w:r>
      <w:r w:rsidR="00252013">
        <w:t xml:space="preserve"> Center in the B building). </w:t>
      </w:r>
      <w:r>
        <w:t xml:space="preserve">We read “Our Monsters, Ourselves” in class (page 342 in </w:t>
      </w:r>
      <w:r w:rsidRPr="00252013">
        <w:rPr>
          <w:i/>
        </w:rPr>
        <w:t>Bedford Reader</w:t>
      </w:r>
      <w:r>
        <w:t xml:space="preserve">). I would recommend re-reading it. Read Guillermo Del Toro and Chuck Hogan’s essay, “Vampires Never Die” on page 335. Review your notes and texts we read in class during the monster unit. In class (unless you wish to write it before), you will respond to either prompt #5 </w:t>
      </w:r>
      <w:r w:rsidR="00252013">
        <w:t xml:space="preserve">(Connections) </w:t>
      </w:r>
      <w:r>
        <w:t>on page 340 OR prompt # 4 (Connections) on page 347.</w:t>
      </w:r>
      <w:r w:rsidR="00252013">
        <w:t xml:space="preserve"> I would recommend that you also review directions on Compare / Contrast essays on pp 234-239. </w:t>
      </w:r>
      <w:r w:rsidR="00252013" w:rsidRPr="00252013">
        <w:rPr>
          <w:b/>
          <w:u w:val="single"/>
        </w:rPr>
        <w:t xml:space="preserve">Bring your </w:t>
      </w:r>
      <w:r w:rsidR="00252013" w:rsidRPr="00252013">
        <w:rPr>
          <w:b/>
          <w:i/>
          <w:u w:val="single"/>
        </w:rPr>
        <w:t>Bedford Reader</w:t>
      </w:r>
      <w:r w:rsidR="00252013" w:rsidRPr="00252013">
        <w:rPr>
          <w:b/>
          <w:u w:val="single"/>
        </w:rPr>
        <w:t xml:space="preserve"> to class so that you can quote (correctly) from one or both of the essays</w:t>
      </w:r>
      <w:r w:rsidR="00252013">
        <w:t>.</w:t>
      </w:r>
    </w:p>
    <w:p w:rsidR="00252013" w:rsidRDefault="00252013" w:rsidP="00252013">
      <w:pPr>
        <w:pStyle w:val="ListParagraph"/>
        <w:numPr>
          <w:ilvl w:val="0"/>
          <w:numId w:val="2"/>
        </w:numPr>
      </w:pPr>
      <w:r>
        <w:t>I will provide names of people or places or writers or poets as well as lines from short stories, novels, poems we read in class and you will explain the context as well as significance.</w:t>
      </w:r>
    </w:p>
    <w:p w:rsidR="00252013" w:rsidRDefault="00252013" w:rsidP="00252013">
      <w:r>
        <w:t xml:space="preserve">For example, if I said Victor Frankenstein (I won’t . . .): Victor Frankenstein is the scientist / protagonist in Mary Shelley’s novel, </w:t>
      </w:r>
      <w:r w:rsidRPr="00252013">
        <w:rPr>
          <w:i/>
        </w:rPr>
        <w:t>Frankenstein</w:t>
      </w:r>
      <w:r>
        <w:t xml:space="preserve">. He creates a creature and then abandons it. He represents a modern Prometheus, someone who pushes the limits of science and knowledge, and is then punished for it. </w:t>
      </w:r>
      <w:r w:rsidR="00DF5F97">
        <w:t xml:space="preserve"> He also demonstrates many of the characteristics of the Byronic Hero, such as being isolated and traveling a lot.</w:t>
      </w:r>
    </w:p>
    <w:p w:rsidR="00252013" w:rsidRDefault="00252013" w:rsidP="00252013">
      <w:r>
        <w:t xml:space="preserve">Texts that will be covered: </w:t>
      </w:r>
      <w:proofErr w:type="spellStart"/>
      <w:r>
        <w:t>Polodori’s</w:t>
      </w:r>
      <w:proofErr w:type="spellEnd"/>
      <w:r>
        <w:t xml:space="preserve"> “The </w:t>
      </w:r>
      <w:proofErr w:type="spellStart"/>
      <w:r>
        <w:t>Vampyre</w:t>
      </w:r>
      <w:proofErr w:type="spellEnd"/>
      <w:r>
        <w:t xml:space="preserve">”; Mary Shelley’s </w:t>
      </w:r>
      <w:r w:rsidRPr="00252013">
        <w:rPr>
          <w:i/>
        </w:rPr>
        <w:t>Frankenstei</w:t>
      </w:r>
      <w:r w:rsidR="00DF5F97">
        <w:rPr>
          <w:i/>
        </w:rPr>
        <w:t>n (includes her introduction)</w:t>
      </w:r>
      <w:r>
        <w:t>; Byron’s “Childe Harold’s Pilgrimage” (portion covered in class); Coleridge’s “Rime of the Ancient Mariner”; Wordsworth’s “</w:t>
      </w:r>
      <w:proofErr w:type="spellStart"/>
      <w:r>
        <w:t>Tintern</w:t>
      </w:r>
      <w:proofErr w:type="spellEnd"/>
      <w:r>
        <w:t xml:space="preserve"> Abbey”</w:t>
      </w:r>
    </w:p>
    <w:p w:rsidR="00B54E93" w:rsidRDefault="00B54E93"/>
    <w:p w:rsidR="00B54E93" w:rsidRDefault="00B54E93"/>
    <w:sectPr w:rsidR="00B54E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10B9F"/>
    <w:multiLevelType w:val="hybridMultilevel"/>
    <w:tmpl w:val="C9FEB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9C74DB"/>
    <w:multiLevelType w:val="hybridMultilevel"/>
    <w:tmpl w:val="897AA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E93"/>
    <w:rsid w:val="00053061"/>
    <w:rsid w:val="002517B1"/>
    <w:rsid w:val="00252013"/>
    <w:rsid w:val="00AD75DC"/>
    <w:rsid w:val="00B54E93"/>
    <w:rsid w:val="00DF5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E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2</cp:revision>
  <cp:lastPrinted>2015-01-08T18:47:00Z</cp:lastPrinted>
  <dcterms:created xsi:type="dcterms:W3CDTF">2015-01-07T18:06:00Z</dcterms:created>
  <dcterms:modified xsi:type="dcterms:W3CDTF">2015-01-08T18:47:00Z</dcterms:modified>
</cp:coreProperties>
</file>